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6" w:rsidRDefault="006913A6"/>
    <w:p w:rsidR="004E21F0" w:rsidRDefault="004E21F0" w:rsidP="0099007C">
      <w:pPr>
        <w:spacing w:after="0" w:line="240" w:lineRule="auto"/>
        <w:rPr>
          <w:b/>
        </w:rPr>
      </w:pPr>
      <w:r>
        <w:rPr>
          <w:b/>
        </w:rPr>
        <w:t xml:space="preserve">Chercheur(e) demandant la mobilité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A4329" w:rsidTr="00352609">
        <w:tc>
          <w:tcPr>
            <w:tcW w:w="2660" w:type="dxa"/>
          </w:tcPr>
          <w:p w:rsidR="008A4329" w:rsidRPr="009448AF" w:rsidRDefault="008A4329" w:rsidP="00352609">
            <w:r w:rsidRPr="009448AF">
              <w:t>Prénom et NOM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  <w:tr w:rsidR="008A4329" w:rsidTr="00352609">
        <w:tc>
          <w:tcPr>
            <w:tcW w:w="2660" w:type="dxa"/>
          </w:tcPr>
          <w:p w:rsidR="008A4329" w:rsidRPr="009448AF" w:rsidRDefault="008A4329" w:rsidP="00352609">
            <w:r>
              <w:t>Statut (MCF, PR…)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  <w:tr w:rsidR="008A4329" w:rsidTr="00352609">
        <w:tc>
          <w:tcPr>
            <w:tcW w:w="2660" w:type="dxa"/>
          </w:tcPr>
          <w:p w:rsidR="008A4329" w:rsidRPr="009448AF" w:rsidRDefault="008A4329" w:rsidP="00352609">
            <w:r>
              <w:t>Employeur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  <w:tr w:rsidR="008A4329" w:rsidTr="00352609">
        <w:tc>
          <w:tcPr>
            <w:tcW w:w="2660" w:type="dxa"/>
          </w:tcPr>
          <w:p w:rsidR="008A4329" w:rsidRPr="009448AF" w:rsidRDefault="008A4329" w:rsidP="00352609">
            <w:r>
              <w:t>Laboratoire</w:t>
            </w:r>
          </w:p>
        </w:tc>
        <w:tc>
          <w:tcPr>
            <w:tcW w:w="6552" w:type="dxa"/>
          </w:tcPr>
          <w:p w:rsidR="008A4329" w:rsidRDefault="008A4329" w:rsidP="00352609">
            <w:pPr>
              <w:rPr>
                <w:b/>
              </w:rPr>
            </w:pPr>
          </w:p>
        </w:tc>
      </w:tr>
    </w:tbl>
    <w:p w:rsidR="00EF3752" w:rsidRDefault="00EF3752" w:rsidP="0099007C">
      <w:pPr>
        <w:spacing w:after="0" w:line="240" w:lineRule="auto"/>
      </w:pPr>
    </w:p>
    <w:p w:rsidR="004661BB" w:rsidRPr="008A4329" w:rsidRDefault="0026354E" w:rsidP="0099007C">
      <w:pPr>
        <w:spacing w:after="0" w:line="240" w:lineRule="auto"/>
        <w:rPr>
          <w:b/>
        </w:rPr>
      </w:pPr>
      <w:r>
        <w:rPr>
          <w:b/>
        </w:rPr>
        <w:t>Laboratoire/établissement d’accueil (pour les mobilités multiples, veuillez copier-coller le tableau pour renseigner les différents établissements)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4329" w:rsidTr="008A4329">
        <w:tc>
          <w:tcPr>
            <w:tcW w:w="4606" w:type="dxa"/>
          </w:tcPr>
          <w:p w:rsidR="008A4329" w:rsidRDefault="008A4329" w:rsidP="0099007C">
            <w:r>
              <w:t>Prénom et NOM du contact principal 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Etablissement 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Laboratoire / département 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Ville</w:t>
            </w:r>
          </w:p>
        </w:tc>
        <w:tc>
          <w:tcPr>
            <w:tcW w:w="4606" w:type="dxa"/>
          </w:tcPr>
          <w:p w:rsidR="008A4329" w:rsidRDefault="008A4329" w:rsidP="0099007C"/>
        </w:tc>
      </w:tr>
      <w:tr w:rsidR="008A4329" w:rsidTr="008A4329">
        <w:tc>
          <w:tcPr>
            <w:tcW w:w="4606" w:type="dxa"/>
          </w:tcPr>
          <w:p w:rsidR="008A4329" w:rsidRDefault="008A4329" w:rsidP="0099007C">
            <w:r>
              <w:t>Pays</w:t>
            </w:r>
          </w:p>
        </w:tc>
        <w:tc>
          <w:tcPr>
            <w:tcW w:w="4606" w:type="dxa"/>
          </w:tcPr>
          <w:p w:rsidR="008A4329" w:rsidRDefault="008A4329" w:rsidP="0099007C"/>
        </w:tc>
      </w:tr>
    </w:tbl>
    <w:p w:rsidR="008A4329" w:rsidRDefault="008A4329" w:rsidP="0099007C">
      <w:pPr>
        <w:spacing w:after="0" w:line="240" w:lineRule="auto"/>
      </w:pPr>
    </w:p>
    <w:p w:rsidR="0099007C" w:rsidRDefault="0099007C" w:rsidP="0099007C">
      <w:pPr>
        <w:spacing w:after="0" w:line="240" w:lineRule="auto"/>
        <w:rPr>
          <w:b/>
        </w:rPr>
      </w:pPr>
      <w:r w:rsidRPr="0099007C">
        <w:rPr>
          <w:b/>
        </w:rPr>
        <w:t>Période</w:t>
      </w:r>
      <w:r w:rsidR="0026354E">
        <w:rPr>
          <w:b/>
        </w:rPr>
        <w:t>(s)</w:t>
      </w:r>
      <w:r w:rsidRPr="0099007C">
        <w:rPr>
          <w:b/>
        </w:rPr>
        <w:t xml:space="preserve"> souhaitée</w:t>
      </w:r>
      <w:r w:rsidR="0026354E">
        <w:rPr>
          <w:b/>
        </w:rPr>
        <w:t>(s)</w:t>
      </w:r>
      <w:r w:rsidRPr="0099007C">
        <w:rPr>
          <w:b/>
        </w:rPr>
        <w:t xml:space="preserve"> </w:t>
      </w:r>
      <w:r w:rsidR="0026354E">
        <w:rPr>
          <w:b/>
        </w:rPr>
        <w:t>de mobilité</w:t>
      </w:r>
      <w:r w:rsidRPr="0099007C">
        <w:rPr>
          <w:b/>
        </w:rPr>
        <w:t xml:space="preserve"> (ou dates si connues)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/>
          <w:p w:rsidR="008A4329" w:rsidRDefault="008A4329" w:rsidP="0099007C"/>
        </w:tc>
      </w:tr>
    </w:tbl>
    <w:p w:rsidR="008A4329" w:rsidRDefault="008A4329" w:rsidP="0099007C">
      <w:pPr>
        <w:spacing w:after="0" w:line="240" w:lineRule="auto"/>
        <w:rPr>
          <w:b/>
        </w:rPr>
      </w:pPr>
    </w:p>
    <w:p w:rsidR="00F77C93" w:rsidRDefault="00F77C93" w:rsidP="0099007C">
      <w:pPr>
        <w:spacing w:after="0" w:line="240" w:lineRule="auto"/>
        <w:rPr>
          <w:b/>
        </w:rPr>
      </w:pPr>
      <w:r>
        <w:rPr>
          <w:b/>
        </w:rPr>
        <w:t xml:space="preserve">Durée du séjour (entre </w:t>
      </w:r>
      <w:r w:rsidR="00E25A34">
        <w:rPr>
          <w:b/>
        </w:rPr>
        <w:t>15 jours et 2 mois</w:t>
      </w:r>
      <w:r w:rsidR="0026354E">
        <w:rPr>
          <w:b/>
        </w:rPr>
        <w:t>, ou 3 semaines maximum en 3 séjours</w:t>
      </w:r>
      <w:r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</w:tc>
      </w:tr>
    </w:tbl>
    <w:p w:rsidR="0099007C" w:rsidRPr="0099007C" w:rsidRDefault="0099007C" w:rsidP="0099007C">
      <w:pPr>
        <w:spacing w:after="0" w:line="240" w:lineRule="auto"/>
        <w:rPr>
          <w:b/>
        </w:rPr>
      </w:pPr>
    </w:p>
    <w:p w:rsidR="00DB52E6" w:rsidRDefault="0026354E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t>Contexte de la demande</w:t>
      </w:r>
      <w:r w:rsidR="00BA2EB7">
        <w:rPr>
          <w:b/>
        </w:rPr>
        <w:t xml:space="preserve"> – </w:t>
      </w:r>
      <w:r w:rsidR="00BA2EB7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  <w:p w:rsidR="008A4329" w:rsidRDefault="008A4329" w:rsidP="0099007C">
            <w:pPr>
              <w:rPr>
                <w:b/>
              </w:rPr>
            </w:pPr>
          </w:p>
        </w:tc>
      </w:tr>
    </w:tbl>
    <w:p w:rsidR="0099007C" w:rsidRDefault="0099007C" w:rsidP="0099007C">
      <w:pPr>
        <w:spacing w:after="0" w:line="240" w:lineRule="auto"/>
        <w:rPr>
          <w:b/>
        </w:rPr>
      </w:pPr>
    </w:p>
    <w:p w:rsidR="00DB52E6" w:rsidRPr="00BA2EB7" w:rsidRDefault="00DB52E6" w:rsidP="0099007C">
      <w:pPr>
        <w:spacing w:after="0" w:line="240" w:lineRule="auto"/>
        <w:rPr>
          <w:b/>
          <w:i/>
        </w:rPr>
      </w:pPr>
      <w:r>
        <w:rPr>
          <w:b/>
        </w:rPr>
        <w:t>Activités prévues pendant la</w:t>
      </w:r>
      <w:r w:rsidR="008440F9">
        <w:rPr>
          <w:b/>
        </w:rPr>
        <w:t>/les</w:t>
      </w:r>
      <w:r>
        <w:rPr>
          <w:b/>
        </w:rPr>
        <w:t xml:space="preserve"> visite</w:t>
      </w:r>
      <w:r w:rsidR="008440F9">
        <w:rPr>
          <w:b/>
        </w:rPr>
        <w:t>(s)</w:t>
      </w:r>
      <w:r w:rsidR="0099007C">
        <w:rPr>
          <w:b/>
        </w:rPr>
        <w:t xml:space="preserve"> et retombées pour </w:t>
      </w:r>
      <w:r w:rsidR="00491CF7">
        <w:rPr>
          <w:b/>
        </w:rPr>
        <w:t>Avignon Université</w:t>
      </w:r>
      <w:r w:rsidR="00BA2EB7">
        <w:rPr>
          <w:b/>
        </w:rPr>
        <w:t xml:space="preserve"> – </w:t>
      </w:r>
      <w:r w:rsidR="00BA2EB7">
        <w:rPr>
          <w:b/>
          <w:i/>
          <w:color w:val="808080" w:themeColor="background1" w:themeShade="80"/>
        </w:rPr>
        <w:t>1</w:t>
      </w:r>
      <w:r w:rsidR="00BA2EB7" w:rsidRPr="00EB4B63">
        <w:rPr>
          <w:b/>
          <w:i/>
          <w:color w:val="808080" w:themeColor="background1" w:themeShade="80"/>
        </w:rPr>
        <w:t xml:space="preserve"> page max.</w:t>
      </w:r>
    </w:p>
    <w:p w:rsidR="00402901" w:rsidRDefault="00402901" w:rsidP="0099007C">
      <w:pPr>
        <w:spacing w:after="0" w:line="240" w:lineRule="auto"/>
        <w:rPr>
          <w:b/>
          <w:i/>
        </w:rPr>
      </w:pPr>
      <w:r>
        <w:rPr>
          <w:b/>
          <w:i/>
        </w:rPr>
        <w:t xml:space="preserve">Pour rappel, les mobilités </w:t>
      </w:r>
      <w:r w:rsidR="0026354E">
        <w:rPr>
          <w:b/>
          <w:i/>
        </w:rPr>
        <w:t>so</w:t>
      </w:r>
      <w:r>
        <w:rPr>
          <w:b/>
          <w:i/>
        </w:rPr>
        <w:t>r</w:t>
      </w:r>
      <w:r w:rsidR="0026354E">
        <w:rPr>
          <w:b/>
          <w:i/>
        </w:rPr>
        <w:t>t</w:t>
      </w:r>
      <w:r>
        <w:rPr>
          <w:b/>
          <w:i/>
        </w:rPr>
        <w:t xml:space="preserve">antes </w:t>
      </w:r>
      <w:r w:rsidR="007532B8">
        <w:rPr>
          <w:b/>
          <w:i/>
        </w:rPr>
        <w:t>longues durées</w:t>
      </w:r>
      <w:r>
        <w:rPr>
          <w:b/>
          <w:i/>
        </w:rPr>
        <w:t xml:space="preserve"> doivent s’inscrire dans la préparation d’un projet de recherche collaboratif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  <w:p w:rsidR="008A4329" w:rsidRDefault="008A4329" w:rsidP="0099007C">
            <w:pPr>
              <w:rPr>
                <w:b/>
                <w:i/>
              </w:rPr>
            </w:pPr>
          </w:p>
        </w:tc>
      </w:tr>
    </w:tbl>
    <w:p w:rsidR="004661BB" w:rsidRDefault="004661BB" w:rsidP="0099007C">
      <w:pPr>
        <w:spacing w:after="0" w:line="240" w:lineRule="auto"/>
        <w:rPr>
          <w:b/>
          <w:i/>
        </w:rPr>
      </w:pPr>
    </w:p>
    <w:p w:rsidR="004661BB" w:rsidRPr="00402901" w:rsidRDefault="004661BB" w:rsidP="0099007C">
      <w:pPr>
        <w:spacing w:after="0" w:line="240" w:lineRule="auto"/>
        <w:rPr>
          <w:b/>
          <w:i/>
        </w:rPr>
      </w:pPr>
    </w:p>
    <w:p w:rsidR="0099007C" w:rsidRDefault="0099007C" w:rsidP="0099007C">
      <w:pPr>
        <w:spacing w:after="0" w:line="240" w:lineRule="auto"/>
        <w:rPr>
          <w:b/>
        </w:rPr>
      </w:pPr>
    </w:p>
    <w:p w:rsidR="0099007C" w:rsidRDefault="0099007C" w:rsidP="0099007C">
      <w:pPr>
        <w:spacing w:after="0" w:line="240" w:lineRule="auto"/>
        <w:rPr>
          <w:b/>
          <w:i/>
          <w:color w:val="808080" w:themeColor="background1" w:themeShade="80"/>
        </w:rPr>
      </w:pPr>
      <w:r>
        <w:rPr>
          <w:b/>
        </w:rPr>
        <w:lastRenderedPageBreak/>
        <w:t>Avis motivé de la direction de l’unité de recherche ou de la SFR/FR concernée</w:t>
      </w:r>
      <w:r w:rsidR="00BA2EB7">
        <w:rPr>
          <w:b/>
        </w:rPr>
        <w:t xml:space="preserve"> - </w:t>
      </w:r>
      <w:r w:rsidR="00BA2EB7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4329" w:rsidTr="008A4329">
        <w:tc>
          <w:tcPr>
            <w:tcW w:w="9212" w:type="dxa"/>
          </w:tcPr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  <w:p w:rsidR="008A4329" w:rsidRDefault="008A4329" w:rsidP="00EF3752"/>
        </w:tc>
      </w:tr>
    </w:tbl>
    <w:p w:rsidR="0099007C" w:rsidRDefault="0099007C" w:rsidP="00EF3752"/>
    <w:p w:rsidR="008A4329" w:rsidRDefault="008A4329" w:rsidP="00EF3752">
      <w:pPr>
        <w:rPr>
          <w:b/>
        </w:rPr>
      </w:pPr>
    </w:p>
    <w:p w:rsidR="0050578A" w:rsidRDefault="0050578A" w:rsidP="00EF3752">
      <w:pPr>
        <w:pBdr>
          <w:bottom w:val="single" w:sz="6" w:space="1" w:color="auto"/>
        </w:pBdr>
        <w:rPr>
          <w:b/>
        </w:rPr>
      </w:pPr>
    </w:p>
    <w:p w:rsidR="0050578A" w:rsidRPr="005E63FC" w:rsidRDefault="0050578A" w:rsidP="009713CC">
      <w:pPr>
        <w:spacing w:after="0" w:line="240" w:lineRule="auto"/>
        <w:jc w:val="center"/>
        <w:rPr>
          <w:rFonts w:cstheme="minorHAnsi"/>
          <w:b/>
        </w:rPr>
      </w:pPr>
      <w:r w:rsidRPr="005E63FC">
        <w:rPr>
          <w:rFonts w:cstheme="minorHAnsi"/>
          <w:b/>
        </w:rPr>
        <w:t>Rappel des modalités de financement</w:t>
      </w:r>
    </w:p>
    <w:p w:rsidR="0050578A" w:rsidRPr="005E63FC" w:rsidRDefault="0050578A" w:rsidP="009713CC">
      <w:pPr>
        <w:spacing w:after="0" w:line="240" w:lineRule="auto"/>
        <w:jc w:val="center"/>
        <w:rPr>
          <w:rFonts w:cstheme="minorHAnsi"/>
          <w:b/>
        </w:rPr>
      </w:pPr>
    </w:p>
    <w:p w:rsidR="0026354E" w:rsidRPr="005E63FC" w:rsidRDefault="0026354E" w:rsidP="002635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>Le financement est destiné à couvrir les frais généraux de missions : transport, hébergement et restaura</w:t>
      </w:r>
      <w:bookmarkStart w:id="0" w:name="_GoBack"/>
      <w:bookmarkEnd w:id="0"/>
      <w:r w:rsidRPr="005E63FC">
        <w:rPr>
          <w:rFonts w:asciiTheme="minorHAnsi" w:hAnsiTheme="minorHAnsi" w:cstheme="minorHAnsi"/>
          <w:sz w:val="22"/>
          <w:szCs w:val="22"/>
        </w:rPr>
        <w:t xml:space="preserve">tion. </w:t>
      </w:r>
    </w:p>
    <w:p w:rsidR="0026354E" w:rsidRPr="005E63FC" w:rsidRDefault="0026354E" w:rsidP="0026354E">
      <w:pPr>
        <w:pStyle w:val="Default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 xml:space="preserve">- Dans le cas d'une mobilité unique, la prise en charge financière est limitée à 1100€ pour une mobilité de 2 semaines, auxquels viendront s’ajouter 750 € par semaine supplémentaire, dans la limite de 2 mois maximum. </w:t>
      </w:r>
    </w:p>
    <w:p w:rsidR="0026354E" w:rsidRPr="005E63FC" w:rsidRDefault="0026354E" w:rsidP="0026354E">
      <w:pPr>
        <w:pStyle w:val="Default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 xml:space="preserve">- Pour les mobilités multiples, la prise en charge est limitée à 1000 € par mobilité. Les laboratoires </w:t>
      </w:r>
      <w:r w:rsidR="004661BB">
        <w:rPr>
          <w:rFonts w:asciiTheme="minorHAnsi" w:hAnsiTheme="minorHAnsi" w:cstheme="minorHAnsi"/>
          <w:sz w:val="22"/>
          <w:szCs w:val="22"/>
        </w:rPr>
        <w:t>et/</w:t>
      </w:r>
      <w:r w:rsidRPr="005E63FC">
        <w:rPr>
          <w:rFonts w:asciiTheme="minorHAnsi" w:hAnsiTheme="minorHAnsi" w:cstheme="minorHAnsi"/>
          <w:sz w:val="22"/>
          <w:szCs w:val="22"/>
        </w:rPr>
        <w:t xml:space="preserve">ou SFR peuvent bien entendu compléter cette aide sur leurs fonds propres. </w:t>
      </w:r>
    </w:p>
    <w:p w:rsidR="0026354E" w:rsidRPr="005E63FC" w:rsidRDefault="0026354E" w:rsidP="002635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354E" w:rsidRPr="005E63FC" w:rsidRDefault="0026354E" w:rsidP="0026354E">
      <w:pPr>
        <w:pStyle w:val="Default"/>
        <w:ind w:right="117"/>
        <w:jc w:val="both"/>
        <w:rPr>
          <w:rFonts w:asciiTheme="minorHAnsi" w:hAnsiTheme="minorHAnsi" w:cstheme="minorHAnsi"/>
          <w:sz w:val="22"/>
          <w:szCs w:val="22"/>
        </w:rPr>
      </w:pPr>
      <w:r w:rsidRPr="005E63FC">
        <w:rPr>
          <w:rFonts w:asciiTheme="minorHAnsi" w:hAnsiTheme="minorHAnsi" w:cstheme="minorHAnsi"/>
          <w:sz w:val="22"/>
          <w:szCs w:val="22"/>
        </w:rPr>
        <w:t xml:space="preserve">Les laboratoires </w:t>
      </w:r>
      <w:r w:rsidR="004661BB">
        <w:rPr>
          <w:rFonts w:asciiTheme="minorHAnsi" w:hAnsiTheme="minorHAnsi" w:cstheme="minorHAnsi"/>
          <w:sz w:val="22"/>
          <w:szCs w:val="22"/>
        </w:rPr>
        <w:t>et/</w:t>
      </w:r>
      <w:r w:rsidRPr="005E63FC">
        <w:rPr>
          <w:rFonts w:asciiTheme="minorHAnsi" w:hAnsiTheme="minorHAnsi" w:cstheme="minorHAnsi"/>
          <w:sz w:val="22"/>
          <w:szCs w:val="22"/>
        </w:rPr>
        <w:t xml:space="preserve">ou SFR s'acquitteront des factures correspondantes et en adresseront une photocopie à la </w:t>
      </w:r>
      <w:r w:rsidR="0005424F">
        <w:rPr>
          <w:rFonts w:asciiTheme="minorHAnsi" w:hAnsiTheme="minorHAnsi" w:cstheme="minorHAnsi"/>
          <w:sz w:val="22"/>
          <w:szCs w:val="22"/>
        </w:rPr>
        <w:t>Direction d’Appui à la Recherche et à l’Innovation</w:t>
      </w:r>
      <w:r w:rsidRPr="005E63FC">
        <w:rPr>
          <w:rFonts w:asciiTheme="minorHAnsi" w:hAnsiTheme="minorHAnsi" w:cstheme="minorHAnsi"/>
          <w:sz w:val="22"/>
          <w:szCs w:val="22"/>
        </w:rPr>
        <w:t xml:space="preserve"> (</w:t>
      </w:r>
      <w:r w:rsidR="0005424F">
        <w:rPr>
          <w:rFonts w:asciiTheme="minorHAnsi" w:hAnsiTheme="minorHAnsi" w:cstheme="minorHAnsi"/>
          <w:sz w:val="22"/>
          <w:szCs w:val="22"/>
        </w:rPr>
        <w:t>dari</w:t>
      </w:r>
      <w:r w:rsidRPr="005E63FC">
        <w:rPr>
          <w:rFonts w:asciiTheme="minorHAnsi" w:hAnsiTheme="minorHAnsi" w:cstheme="minorHAnsi"/>
          <w:sz w:val="22"/>
          <w:szCs w:val="22"/>
        </w:rPr>
        <w:t xml:space="preserve">@univ-avignon.fr) qui réglera 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via </w:t>
      </w:r>
      <w:r w:rsidRPr="005E63FC">
        <w:rPr>
          <w:rFonts w:asciiTheme="minorHAnsi" w:hAnsiTheme="minorHAnsi" w:cstheme="minorHAnsi"/>
          <w:sz w:val="22"/>
          <w:szCs w:val="22"/>
        </w:rPr>
        <w:t>une facture interne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 : soit </w:t>
      </w:r>
      <w:r w:rsidRPr="005E63FC">
        <w:rPr>
          <w:rFonts w:asciiTheme="minorHAnsi" w:hAnsiTheme="minorHAnsi" w:cstheme="minorHAnsi"/>
          <w:sz w:val="22"/>
          <w:szCs w:val="22"/>
        </w:rPr>
        <w:t xml:space="preserve">un montant égal au maximum de l’aide 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accordée </w:t>
      </w:r>
      <w:r w:rsidRPr="005E63FC">
        <w:rPr>
          <w:rFonts w:asciiTheme="minorHAnsi" w:hAnsiTheme="minorHAnsi" w:cstheme="minorHAnsi"/>
          <w:sz w:val="22"/>
          <w:szCs w:val="22"/>
        </w:rPr>
        <w:t>si le monta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nt total des frais est supérieur à celle-ci, </w:t>
      </w:r>
      <w:r w:rsidRPr="005E63FC">
        <w:rPr>
          <w:rFonts w:asciiTheme="minorHAnsi" w:hAnsiTheme="minorHAnsi" w:cstheme="minorHAnsi"/>
          <w:sz w:val="22"/>
          <w:szCs w:val="22"/>
        </w:rPr>
        <w:t xml:space="preserve">soit au total des frais </w:t>
      </w:r>
      <w:r w:rsidR="007532B8" w:rsidRPr="005E63FC">
        <w:rPr>
          <w:rFonts w:asciiTheme="minorHAnsi" w:hAnsiTheme="minorHAnsi" w:cstheme="minorHAnsi"/>
          <w:sz w:val="22"/>
          <w:szCs w:val="22"/>
        </w:rPr>
        <w:t xml:space="preserve">réels </w:t>
      </w:r>
      <w:r w:rsidRPr="005E63FC">
        <w:rPr>
          <w:rFonts w:asciiTheme="minorHAnsi" w:hAnsiTheme="minorHAnsi" w:cstheme="minorHAnsi"/>
          <w:sz w:val="22"/>
          <w:szCs w:val="22"/>
        </w:rPr>
        <w:t>inhérents à la mobilité si le montant est inférieur à l’</w:t>
      </w:r>
      <w:r w:rsidR="007532B8" w:rsidRPr="005E63FC">
        <w:rPr>
          <w:rFonts w:asciiTheme="minorHAnsi" w:hAnsiTheme="minorHAnsi" w:cstheme="minorHAnsi"/>
          <w:sz w:val="22"/>
          <w:szCs w:val="22"/>
        </w:rPr>
        <w:t>aide accordée</w:t>
      </w:r>
      <w:r w:rsidRPr="005E63FC">
        <w:rPr>
          <w:rFonts w:asciiTheme="minorHAnsi" w:hAnsiTheme="minorHAnsi" w:cstheme="minorHAnsi"/>
          <w:sz w:val="22"/>
          <w:szCs w:val="22"/>
        </w:rPr>
        <w:t xml:space="preserve"> initiale</w:t>
      </w:r>
      <w:r w:rsidR="007532B8" w:rsidRPr="005E63FC">
        <w:rPr>
          <w:rFonts w:asciiTheme="minorHAnsi" w:hAnsiTheme="minorHAnsi" w:cstheme="minorHAnsi"/>
          <w:sz w:val="22"/>
          <w:szCs w:val="22"/>
        </w:rPr>
        <w:t>ment</w:t>
      </w:r>
      <w:r w:rsidRPr="005E63F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354E" w:rsidRPr="005E63FC" w:rsidRDefault="0026354E" w:rsidP="0026354E">
      <w:pPr>
        <w:pStyle w:val="Default"/>
        <w:ind w:right="117"/>
        <w:jc w:val="both"/>
        <w:rPr>
          <w:rFonts w:asciiTheme="minorHAnsi" w:hAnsiTheme="minorHAnsi" w:cstheme="minorHAnsi"/>
          <w:sz w:val="22"/>
          <w:szCs w:val="22"/>
        </w:rPr>
      </w:pPr>
    </w:p>
    <w:p w:rsidR="00893D24" w:rsidRPr="005E63FC" w:rsidRDefault="00893D24" w:rsidP="009713CC">
      <w:pPr>
        <w:spacing w:after="0" w:line="240" w:lineRule="auto"/>
        <w:jc w:val="both"/>
        <w:rPr>
          <w:rFonts w:cstheme="minorHAnsi"/>
        </w:rPr>
      </w:pPr>
    </w:p>
    <w:p w:rsidR="00491CF7" w:rsidRPr="005E63FC" w:rsidRDefault="007532B8" w:rsidP="00491CF7">
      <w:pPr>
        <w:pStyle w:val="Titre1"/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5E63FC">
        <w:rPr>
          <w:rFonts w:asciiTheme="minorHAnsi" w:hAnsiTheme="minorHAnsi" w:cstheme="minorHAnsi"/>
          <w:sz w:val="22"/>
        </w:rPr>
        <w:t>C</w:t>
      </w:r>
      <w:r w:rsidR="00491CF7" w:rsidRPr="005E63FC">
        <w:rPr>
          <w:rFonts w:asciiTheme="minorHAnsi" w:hAnsiTheme="minorHAnsi" w:cstheme="minorHAnsi"/>
          <w:sz w:val="22"/>
        </w:rPr>
        <w:t xml:space="preserve">alendrier </w:t>
      </w:r>
    </w:p>
    <w:p w:rsidR="00491CF7" w:rsidRPr="005E63FC" w:rsidRDefault="00491CF7" w:rsidP="00491CF7">
      <w:pPr>
        <w:spacing w:after="0" w:line="240" w:lineRule="auto"/>
        <w:rPr>
          <w:rFonts w:cstheme="minorHAnsi"/>
        </w:rPr>
      </w:pPr>
      <w:r w:rsidRPr="005E63FC">
        <w:rPr>
          <w:rFonts w:cstheme="minorHAnsi"/>
        </w:rPr>
        <w:t xml:space="preserve">Les dossiers de candidatures sont examinés au fil de l’eau. Dans les tous les cas, le dossier complet est </w:t>
      </w:r>
      <w:r w:rsidR="0005424F">
        <w:rPr>
          <w:rFonts w:cstheme="minorHAnsi"/>
        </w:rPr>
        <w:t>envoyé</w:t>
      </w:r>
      <w:r w:rsidRPr="005E63FC">
        <w:rPr>
          <w:rFonts w:cstheme="minorHAnsi"/>
        </w:rPr>
        <w:t xml:space="preserve"> pour examen en Commission de la recherche dans un délai d’au moins 15 jours avant sa tenue. </w:t>
      </w:r>
    </w:p>
    <w:p w:rsidR="00491CF7" w:rsidRPr="005E63FC" w:rsidRDefault="00491CF7" w:rsidP="00491CF7">
      <w:pPr>
        <w:spacing w:after="0" w:line="240" w:lineRule="auto"/>
        <w:rPr>
          <w:rFonts w:cstheme="minorHAnsi"/>
        </w:rPr>
      </w:pPr>
    </w:p>
    <w:p w:rsidR="00893D24" w:rsidRPr="0026354E" w:rsidRDefault="00893D24" w:rsidP="00491CF7">
      <w:pPr>
        <w:spacing w:after="0" w:line="240" w:lineRule="auto"/>
      </w:pPr>
    </w:p>
    <w:sectPr w:rsidR="00893D24" w:rsidRPr="002635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52" w:rsidRDefault="00EF3752" w:rsidP="00EF3752">
      <w:pPr>
        <w:spacing w:after="0" w:line="240" w:lineRule="auto"/>
      </w:pPr>
      <w:r>
        <w:separator/>
      </w:r>
    </w:p>
  </w:endnote>
  <w:end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4F" w:rsidRPr="008C73B0" w:rsidRDefault="0005424F" w:rsidP="0005424F">
    <w:pPr>
      <w:pStyle w:val="Pieddepage"/>
      <w:jc w:val="center"/>
      <w:rPr>
        <w:i/>
      </w:rPr>
    </w:pPr>
    <w:r w:rsidRPr="008C73B0">
      <w:rPr>
        <w:i/>
      </w:rPr>
      <w:t xml:space="preserve">Ce formulaire complété est à renvoyer à l’adresse </w:t>
    </w:r>
    <w:hyperlink r:id="rId1" w:history="1">
      <w:r w:rsidRPr="008C73B0">
        <w:rPr>
          <w:rStyle w:val="Lienhypertexte"/>
          <w:i/>
        </w:rPr>
        <w:t>aap-recherche@univ-avignon.fr</w:t>
      </w:r>
    </w:hyperlink>
    <w:r>
      <w:rPr>
        <w:i/>
      </w:rPr>
      <w:t xml:space="preserve"> accompagné du CV du demandeur / de la demandeuse</w:t>
    </w:r>
  </w:p>
  <w:p w:rsidR="0099007C" w:rsidRDefault="009900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52" w:rsidRDefault="00EF3752" w:rsidP="00EF3752">
      <w:pPr>
        <w:spacing w:after="0" w:line="240" w:lineRule="auto"/>
      </w:pPr>
      <w:r>
        <w:separator/>
      </w:r>
    </w:p>
  </w:footnote>
  <w:foot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-204470</wp:posOffset>
          </wp:positionH>
          <wp:positionV relativeFrom="margin">
            <wp:posOffset>-770890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 de mobilité</w:t>
    </w:r>
  </w:p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i/>
        <w:sz w:val="24"/>
        <w:szCs w:val="24"/>
      </w:rPr>
      <w:t xml:space="preserve">Mobilité </w:t>
    </w:r>
    <w:r w:rsidR="0026354E">
      <w:rPr>
        <w:b/>
        <w:i/>
        <w:sz w:val="24"/>
        <w:szCs w:val="24"/>
      </w:rPr>
      <w:t>Sortante</w:t>
    </w:r>
    <w:r w:rsidRPr="00713024">
      <w:rPr>
        <w:b/>
        <w:i/>
        <w:sz w:val="24"/>
        <w:szCs w:val="24"/>
      </w:rPr>
      <w:t xml:space="preserve"> </w:t>
    </w:r>
    <w:r w:rsidR="00F77C93">
      <w:rPr>
        <w:b/>
        <w:i/>
        <w:sz w:val="24"/>
        <w:szCs w:val="24"/>
      </w:rPr>
      <w:t>Longue</w:t>
    </w:r>
    <w:r w:rsidRPr="00713024">
      <w:rPr>
        <w:b/>
        <w:i/>
        <w:sz w:val="24"/>
        <w:szCs w:val="24"/>
      </w:rPr>
      <w:t xml:space="preserve"> Durée</w:t>
    </w:r>
  </w:p>
  <w:p w:rsidR="00EF3752" w:rsidRDefault="00EF37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2"/>
    <w:rsid w:val="0005424F"/>
    <w:rsid w:val="00070CE3"/>
    <w:rsid w:val="002455C1"/>
    <w:rsid w:val="0026354E"/>
    <w:rsid w:val="00402901"/>
    <w:rsid w:val="004661BB"/>
    <w:rsid w:val="00491CF7"/>
    <w:rsid w:val="004E21F0"/>
    <w:rsid w:val="0050578A"/>
    <w:rsid w:val="00525A50"/>
    <w:rsid w:val="00531A84"/>
    <w:rsid w:val="005B73CD"/>
    <w:rsid w:val="005E63FC"/>
    <w:rsid w:val="006913A6"/>
    <w:rsid w:val="00713024"/>
    <w:rsid w:val="007532B8"/>
    <w:rsid w:val="007E429C"/>
    <w:rsid w:val="00823A59"/>
    <w:rsid w:val="008440F9"/>
    <w:rsid w:val="00893D24"/>
    <w:rsid w:val="008A4329"/>
    <w:rsid w:val="009713CC"/>
    <w:rsid w:val="0099007C"/>
    <w:rsid w:val="00BA2EB7"/>
    <w:rsid w:val="00CD0B1E"/>
    <w:rsid w:val="00D83671"/>
    <w:rsid w:val="00DB52E6"/>
    <w:rsid w:val="00DF2A82"/>
    <w:rsid w:val="00E25A34"/>
    <w:rsid w:val="00EA638A"/>
    <w:rsid w:val="00EB0276"/>
    <w:rsid w:val="00EF3752"/>
    <w:rsid w:val="00F77C93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5F93E8-AF0B-4F23-B3E8-FAF494E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491CF7"/>
    <w:pPr>
      <w:keepNext/>
      <w:keepLines/>
      <w:spacing w:after="210" w:line="265" w:lineRule="auto"/>
      <w:ind w:left="161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paragraph" w:customStyle="1" w:styleId="Default">
    <w:name w:val="Default"/>
    <w:rsid w:val="0026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91CF7"/>
    <w:rPr>
      <w:rFonts w:ascii="Calibri" w:eastAsia="Calibri" w:hAnsi="Calibri" w:cs="Calibri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5957-D5DE-4654-8C01-82358B9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4</cp:revision>
  <cp:lastPrinted>2019-03-01T12:38:00Z</cp:lastPrinted>
  <dcterms:created xsi:type="dcterms:W3CDTF">2019-11-13T11:30:00Z</dcterms:created>
  <dcterms:modified xsi:type="dcterms:W3CDTF">2021-10-05T09:41:00Z</dcterms:modified>
</cp:coreProperties>
</file>